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37AFA" w14:textId="4FAEF66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3A4C4F4D" w:rsidR="00E17F19" w:rsidRPr="006A5E97" w:rsidRDefault="00234F02"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北陸</w:t>
      </w:r>
      <w:r w:rsidR="00DE5E90">
        <w:rPr>
          <w:rFonts w:asciiTheme="minorEastAsia" w:eastAsiaTheme="minorEastAsia" w:hAnsiTheme="minorEastAsia" w:hint="eastAsia"/>
          <w:sz w:val="24"/>
          <w:szCs w:val="24"/>
        </w:rPr>
        <w:t>電力</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3251118F" w14:textId="0311A07D" w:rsidR="006601A7" w:rsidRDefault="006601A7" w:rsidP="006601A7">
      <w:pPr>
        <w:rPr>
          <w:rStyle w:val="ad"/>
          <w:rFonts w:asciiTheme="minorEastAsia" w:eastAsiaTheme="minorEastAsia" w:hAnsiTheme="minorEastAsia"/>
        </w:rPr>
      </w:pPr>
    </w:p>
    <w:p w14:paraId="56468CA3" w14:textId="77777777" w:rsidR="00701A6C" w:rsidRPr="006A5E97" w:rsidRDefault="00701A6C" w:rsidP="006601A7">
      <w:pPr>
        <w:rPr>
          <w:rStyle w:val="ad"/>
          <w:rFonts w:asciiTheme="minorEastAsia" w:eastAsiaTheme="minorEastAsia" w:hAnsiTheme="minorEastAsia"/>
        </w:rPr>
      </w:pPr>
    </w:p>
    <w:p w14:paraId="40B86228" w14:textId="641D968E" w:rsidR="00E17F19" w:rsidRPr="006A5E97" w:rsidRDefault="006601A7" w:rsidP="006601A7">
      <w:pPr>
        <w:ind w:firstLineChars="100" w:firstLine="240"/>
        <w:jc w:val="center"/>
        <w:rPr>
          <w:rFonts w:asciiTheme="minorEastAsia" w:eastAsiaTheme="minorEastAsia" w:hAnsiTheme="minorEastAsia"/>
          <w:sz w:val="24"/>
          <w:szCs w:val="24"/>
          <w:u w:val="single"/>
        </w:rPr>
      </w:pPr>
      <w:bookmarkStart w:id="0" w:name="_GoBack"/>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」を踏まえた電力受給契約申込について</w:t>
      </w:r>
      <w:r w:rsidR="00001825">
        <w:rPr>
          <w:rFonts w:asciiTheme="minorEastAsia" w:eastAsiaTheme="minorEastAsia" w:hAnsiTheme="minorEastAsia" w:hint="eastAsia"/>
          <w:sz w:val="24"/>
          <w:szCs w:val="24"/>
          <w:u w:val="single"/>
        </w:rPr>
        <w:t>【同意書】</w:t>
      </w:r>
    </w:p>
    <w:bookmarkEnd w:id="0"/>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14BEE134"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下記2.電力受給契約申込における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電力受給契約の申込を行います。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7B7367F2" w14:textId="77777777" w:rsidR="00E17F19" w:rsidRPr="006A5E97" w:rsidRDefault="00E17F19" w:rsidP="00E17F19">
      <w:pPr>
        <w:rPr>
          <w:rFonts w:asciiTheme="minorEastAsia" w:eastAsiaTheme="minorEastAsia" w:hAnsiTheme="minorEastAsia"/>
          <w:sz w:val="24"/>
          <w:szCs w:val="24"/>
        </w:rPr>
      </w:pPr>
    </w:p>
    <w:p w14:paraId="47344973" w14:textId="118CD334"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28F24C4"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電力</w:t>
      </w:r>
      <w:r w:rsidR="00E17F19" w:rsidRPr="006A5E97">
        <w:rPr>
          <w:rFonts w:asciiTheme="minorEastAsia" w:eastAsiaTheme="minorEastAsia" w:hAnsiTheme="minorEastAsia" w:hint="eastAsia"/>
          <w:sz w:val="24"/>
          <w:szCs w:val="24"/>
        </w:rPr>
        <w:t>受給契約申込における「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72646E4B"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FE57FB">
        <w:rPr>
          <w:rFonts w:asciiTheme="minorEastAsia" w:eastAsiaTheme="minorEastAsia" w:hAnsiTheme="minorEastAsia" w:hint="eastAsia"/>
          <w:szCs w:val="21"/>
        </w:rPr>
        <w:t>場合は、これを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3241E4D1"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CDEFFC6"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52071BCE"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7CF938D6"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131A62FD" w:rsidR="00A3623C" w:rsidRPr="00001825"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⑨ 本参加条件に反することにより、電力受給契約を解除されても貴社に対して異議を申し立てないこと。</w:t>
      </w:r>
    </w:p>
    <w:p w14:paraId="37B9A23F" w14:textId="0DEDBF30"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74CC56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5E4F" w14:textId="77777777" w:rsidR="00472C71" w:rsidRDefault="00472C71" w:rsidP="0028456A">
      <w:r>
        <w:separator/>
      </w:r>
    </w:p>
  </w:endnote>
  <w:endnote w:type="continuationSeparator" w:id="0">
    <w:p w14:paraId="3EFC5BCF" w14:textId="77777777" w:rsidR="00472C71" w:rsidRDefault="00472C71"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AE85E" w14:textId="77777777" w:rsidR="00472C71" w:rsidRDefault="00472C71" w:rsidP="0028456A">
      <w:r>
        <w:separator/>
      </w:r>
    </w:p>
  </w:footnote>
  <w:footnote w:type="continuationSeparator" w:id="0">
    <w:p w14:paraId="7BDD4681" w14:textId="77777777" w:rsidR="00472C71" w:rsidRDefault="00472C71" w:rsidP="0028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630F6"/>
    <w:rsid w:val="000818FC"/>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34F02"/>
    <w:rsid w:val="00246529"/>
    <w:rsid w:val="00251E2A"/>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72C71"/>
    <w:rsid w:val="00493DA8"/>
    <w:rsid w:val="004A1229"/>
    <w:rsid w:val="004A5750"/>
    <w:rsid w:val="004B0E60"/>
    <w:rsid w:val="004B43DC"/>
    <w:rsid w:val="004E06E8"/>
    <w:rsid w:val="00510D80"/>
    <w:rsid w:val="0051105F"/>
    <w:rsid w:val="0051720A"/>
    <w:rsid w:val="0056097D"/>
    <w:rsid w:val="0056646B"/>
    <w:rsid w:val="0057673F"/>
    <w:rsid w:val="005C040D"/>
    <w:rsid w:val="005C7583"/>
    <w:rsid w:val="005D0693"/>
    <w:rsid w:val="005E50EE"/>
    <w:rsid w:val="005F346A"/>
    <w:rsid w:val="0061792D"/>
    <w:rsid w:val="00623687"/>
    <w:rsid w:val="0063262B"/>
    <w:rsid w:val="00643CE4"/>
    <w:rsid w:val="00645DB0"/>
    <w:rsid w:val="00646102"/>
    <w:rsid w:val="0065556F"/>
    <w:rsid w:val="006601A7"/>
    <w:rsid w:val="006633F1"/>
    <w:rsid w:val="00675BA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A7E77"/>
    <w:rsid w:val="00AC441C"/>
    <w:rsid w:val="00AD4102"/>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0FBC"/>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035CF"/>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7025-3490-468D-8B02-207152CB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源大</dc:creator>
  <cp:keywords/>
  <dc:description/>
  <cp:lastModifiedBy>浦田 源大</cp:lastModifiedBy>
  <cp:revision>2</cp:revision>
  <cp:lastPrinted>2020-11-09T07:31:00Z</cp:lastPrinted>
  <dcterms:created xsi:type="dcterms:W3CDTF">2023-05-30T04:24:00Z</dcterms:created>
  <dcterms:modified xsi:type="dcterms:W3CDTF">2023-05-30T04:24:00Z</dcterms:modified>
</cp:coreProperties>
</file>